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3381" w14:textId="77777777" w:rsidR="00324639" w:rsidRPr="00273052" w:rsidRDefault="00324639" w:rsidP="00324639">
      <w:pPr>
        <w:jc w:val="both"/>
        <w:rPr>
          <w:rFonts w:ascii="Times New Roman" w:hAnsi="Times New Roman"/>
          <w:b/>
          <w:smallCaps/>
          <w:sz w:val="24"/>
          <w:szCs w:val="24"/>
        </w:rPr>
      </w:pPr>
      <w:proofErr w:type="spellStart"/>
      <w:r w:rsidRPr="00273052">
        <w:rPr>
          <w:rFonts w:ascii="Times New Roman" w:hAnsi="Times New Roman"/>
          <w:b/>
          <w:smallCaps/>
          <w:sz w:val="24"/>
          <w:szCs w:val="24"/>
        </w:rPr>
        <w:t>Carnon</w:t>
      </w:r>
      <w:proofErr w:type="spellEnd"/>
      <w:r w:rsidRPr="00273052">
        <w:rPr>
          <w:rFonts w:ascii="Times New Roman" w:hAnsi="Times New Roman"/>
          <w:b/>
          <w:smallCaps/>
          <w:sz w:val="24"/>
          <w:szCs w:val="24"/>
        </w:rPr>
        <w:t xml:space="preserve"> Downs Drama Group  </w:t>
      </w:r>
    </w:p>
    <w:p w14:paraId="430EA91D" w14:textId="77777777" w:rsidR="00324639" w:rsidRDefault="00324639" w:rsidP="00324639">
      <w:pPr>
        <w:jc w:val="both"/>
        <w:rPr>
          <w:rFonts w:ascii="Times New Roman" w:hAnsi="Times New Roman"/>
          <w:sz w:val="24"/>
          <w:szCs w:val="24"/>
        </w:rPr>
      </w:pPr>
      <w:r w:rsidRPr="00273052">
        <w:rPr>
          <w:rFonts w:ascii="Times New Roman" w:hAnsi="Times New Roman"/>
          <w:sz w:val="24"/>
          <w:szCs w:val="24"/>
        </w:rPr>
        <w:t xml:space="preserve">Our Annual General Meeting will </w:t>
      </w:r>
      <w:r>
        <w:rPr>
          <w:rFonts w:ascii="Times New Roman" w:hAnsi="Times New Roman"/>
          <w:sz w:val="24"/>
          <w:szCs w:val="24"/>
        </w:rPr>
        <w:t>go ahead on 11</w:t>
      </w:r>
      <w:r w:rsidRPr="00273052">
        <w:rPr>
          <w:rFonts w:ascii="Times New Roman" w:hAnsi="Times New Roman"/>
          <w:sz w:val="24"/>
          <w:szCs w:val="24"/>
          <w:vertAlign w:val="superscript"/>
        </w:rPr>
        <w:t>th</w:t>
      </w:r>
      <w:r>
        <w:rPr>
          <w:rFonts w:ascii="Times New Roman" w:hAnsi="Times New Roman"/>
          <w:sz w:val="24"/>
          <w:szCs w:val="24"/>
        </w:rPr>
        <w:t xml:space="preserve"> July.  As a business meeting, this is permitted under Covid guidance, but current restrictions must be observed.  We will record the details of all attending for track and trace purposes.  Social distancing must be observed (the Barn is a large venue).  Face masks must be worn, except when seated.  The venue will be ventilated and hand sanitiser will be available.</w:t>
      </w:r>
    </w:p>
    <w:p w14:paraId="247AA1CB" w14:textId="77777777" w:rsidR="00324639" w:rsidRDefault="00324639" w:rsidP="00324639">
      <w:pPr>
        <w:jc w:val="both"/>
        <w:rPr>
          <w:rFonts w:ascii="Times New Roman" w:hAnsi="Times New Roman"/>
          <w:sz w:val="24"/>
          <w:szCs w:val="24"/>
        </w:rPr>
      </w:pPr>
      <w:r>
        <w:rPr>
          <w:rFonts w:ascii="Times New Roman" w:hAnsi="Times New Roman"/>
          <w:sz w:val="24"/>
          <w:szCs w:val="24"/>
        </w:rPr>
        <w:t>The Barbecue which follows will also proceed, as an outdoor event in the field behind the Barn.  In the event of rain, it will be cancelled; we must not move back indoors.  Tea, coffee, nibbles and bread buns will be available; please bring your own meat or veg for barbecuing, and your own alcohol if desired.</w:t>
      </w:r>
    </w:p>
    <w:p w14:paraId="0F9D9D93" w14:textId="77777777" w:rsidR="00324639" w:rsidRPr="00273052" w:rsidRDefault="00324639" w:rsidP="00324639">
      <w:pPr>
        <w:jc w:val="both"/>
        <w:rPr>
          <w:rFonts w:ascii="Times New Roman" w:hAnsi="Times New Roman"/>
          <w:sz w:val="24"/>
          <w:szCs w:val="24"/>
        </w:rPr>
      </w:pPr>
      <w:r>
        <w:rPr>
          <w:rFonts w:ascii="Times New Roman" w:hAnsi="Times New Roman"/>
          <w:sz w:val="24"/>
          <w:szCs w:val="24"/>
        </w:rPr>
        <w:t>We look forward to seeing everyone in a safe and secure way.</w:t>
      </w:r>
    </w:p>
    <w:p w14:paraId="2CB2C60D" w14:textId="77777777" w:rsidR="00324639" w:rsidRPr="00E11B1F" w:rsidRDefault="00324639" w:rsidP="00324639">
      <w:pPr>
        <w:jc w:val="both"/>
        <w:rPr>
          <w:rFonts w:ascii="Times New Roman" w:hAnsi="Times New Roman"/>
          <w:sz w:val="24"/>
          <w:szCs w:val="24"/>
        </w:rPr>
      </w:pPr>
      <w:r w:rsidRPr="00E11B1F">
        <w:rPr>
          <w:rFonts w:ascii="Times New Roman" w:hAnsi="Times New Roman"/>
          <w:sz w:val="24"/>
          <w:szCs w:val="24"/>
        </w:rPr>
        <w:t xml:space="preserve">David </w:t>
      </w:r>
      <w:proofErr w:type="spellStart"/>
      <w:r w:rsidRPr="00E11B1F">
        <w:rPr>
          <w:rFonts w:ascii="Times New Roman" w:hAnsi="Times New Roman"/>
          <w:sz w:val="24"/>
          <w:szCs w:val="24"/>
        </w:rPr>
        <w:t>Ivall</w:t>
      </w:r>
      <w:proofErr w:type="spellEnd"/>
      <w:r w:rsidRPr="00E11B1F">
        <w:rPr>
          <w:rFonts w:ascii="Times New Roman" w:hAnsi="Times New Roman"/>
          <w:sz w:val="24"/>
          <w:szCs w:val="24"/>
        </w:rPr>
        <w:t>,</w:t>
      </w:r>
      <w:r>
        <w:rPr>
          <w:rFonts w:ascii="Times New Roman" w:hAnsi="Times New Roman"/>
          <w:sz w:val="24"/>
          <w:szCs w:val="24"/>
        </w:rPr>
        <w:t xml:space="preserve"> Chair of CDDG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57A02CD9" w14:textId="77777777" w:rsidR="00324639" w:rsidRDefault="00324639">
      <w:pPr>
        <w:spacing w:after="0" w:line="240" w:lineRule="auto"/>
      </w:pPr>
      <w:r>
        <w:br w:type="page"/>
      </w:r>
    </w:p>
    <w:tbl>
      <w:tblPr>
        <w:tblpPr w:leftFromText="180" w:rightFromText="180" w:bottomFromText="200" w:horzAnchor="margin" w:tblpXSpec="center" w:tblpY="-472"/>
        <w:tblW w:w="10530" w:type="dxa"/>
        <w:tblBorders>
          <w:top w:val="single" w:sz="6" w:space="0" w:color="70AD47"/>
          <w:left w:val="single" w:sz="6" w:space="0" w:color="70AD47"/>
          <w:bottom w:val="single" w:sz="6" w:space="0" w:color="70AD47"/>
          <w:right w:val="single" w:sz="6" w:space="0" w:color="70AD47"/>
          <w:insideH w:val="single" w:sz="6" w:space="0" w:color="70AD47"/>
          <w:insideV w:val="single" w:sz="6" w:space="0" w:color="70AD47"/>
        </w:tblBorders>
        <w:tblLayout w:type="fixed"/>
        <w:tblLook w:val="0420" w:firstRow="1" w:lastRow="0" w:firstColumn="0" w:lastColumn="0" w:noHBand="0" w:noVBand="1"/>
      </w:tblPr>
      <w:tblGrid>
        <w:gridCol w:w="1555"/>
        <w:gridCol w:w="8975"/>
      </w:tblGrid>
      <w:tr w:rsidR="00324639" w:rsidRPr="002F29D5" w14:paraId="1939EABA" w14:textId="77777777" w:rsidTr="00177FBA">
        <w:trPr>
          <w:trHeight w:val="411"/>
        </w:trPr>
        <w:tc>
          <w:tcPr>
            <w:tcW w:w="1555" w:type="dxa"/>
            <w:tcBorders>
              <w:top w:val="single" w:sz="6" w:space="0" w:color="70AD47"/>
              <w:left w:val="single" w:sz="6" w:space="0" w:color="70AD47"/>
              <w:bottom w:val="single" w:sz="6" w:space="0" w:color="70AD47"/>
              <w:right w:val="single" w:sz="6" w:space="0" w:color="70AD47"/>
            </w:tcBorders>
            <w:shd w:val="clear" w:color="auto" w:fill="70AD47"/>
          </w:tcPr>
          <w:p w14:paraId="3D4BFF92" w14:textId="77777777" w:rsidR="00324639" w:rsidRPr="002F29D5" w:rsidRDefault="00324639" w:rsidP="00177FBA">
            <w:pPr>
              <w:spacing w:before="200" w:after="0" w:line="288" w:lineRule="auto"/>
              <w:ind w:left="864" w:right="864" w:hanging="864"/>
              <w:jc w:val="center"/>
              <w:rPr>
                <w:rFonts w:cs="Calibri"/>
                <w:i/>
                <w:color w:val="404040"/>
              </w:rPr>
            </w:pPr>
          </w:p>
        </w:tc>
        <w:tc>
          <w:tcPr>
            <w:tcW w:w="8975" w:type="dxa"/>
            <w:tcBorders>
              <w:top w:val="single" w:sz="6" w:space="0" w:color="70AD47"/>
              <w:left w:val="single" w:sz="6" w:space="0" w:color="70AD47"/>
              <w:bottom w:val="single" w:sz="6" w:space="0" w:color="70AD47"/>
              <w:right w:val="single" w:sz="6" w:space="0" w:color="70AD47"/>
            </w:tcBorders>
            <w:shd w:val="clear" w:color="auto" w:fill="70AD47"/>
            <w:hideMark/>
          </w:tcPr>
          <w:p w14:paraId="27984FCB" w14:textId="77777777" w:rsidR="00324639" w:rsidRPr="002F29D5" w:rsidRDefault="00324639" w:rsidP="00177FBA">
            <w:pPr>
              <w:spacing w:after="0" w:line="276" w:lineRule="auto"/>
              <w:rPr>
                <w:rFonts w:cs="Calibri"/>
              </w:rPr>
            </w:pPr>
            <w:proofErr w:type="spellStart"/>
            <w:r w:rsidRPr="002F29D5">
              <w:rPr>
                <w:rFonts w:cs="Calibri"/>
                <w:sz w:val="28"/>
              </w:rPr>
              <w:t>Carnon</w:t>
            </w:r>
            <w:proofErr w:type="spellEnd"/>
            <w:r w:rsidRPr="002F29D5">
              <w:rPr>
                <w:rFonts w:cs="Calibri"/>
                <w:sz w:val="28"/>
              </w:rPr>
              <w:t xml:space="preserve"> Downs Drama Group Annual General Meeting - Agenda</w:t>
            </w:r>
          </w:p>
        </w:tc>
      </w:tr>
      <w:tr w:rsidR="00324639" w:rsidRPr="002F29D5" w14:paraId="28005105" w14:textId="77777777" w:rsidTr="00177FBA">
        <w:trPr>
          <w:trHeight w:val="495"/>
        </w:trPr>
        <w:tc>
          <w:tcPr>
            <w:tcW w:w="1555" w:type="dxa"/>
            <w:tcBorders>
              <w:top w:val="single" w:sz="6" w:space="0" w:color="70AD47"/>
              <w:left w:val="single" w:sz="6" w:space="0" w:color="70AD47"/>
              <w:bottom w:val="single" w:sz="6" w:space="0" w:color="70AD47"/>
              <w:right w:val="single" w:sz="6" w:space="0" w:color="70AD47"/>
            </w:tcBorders>
            <w:shd w:val="clear" w:color="auto" w:fill="C5E0B3"/>
            <w:hideMark/>
          </w:tcPr>
          <w:p w14:paraId="5DEE9C16" w14:textId="77777777" w:rsidR="00324639" w:rsidRPr="002F29D5" w:rsidRDefault="00324639" w:rsidP="00177FBA">
            <w:pPr>
              <w:spacing w:after="0" w:line="240" w:lineRule="auto"/>
              <w:rPr>
                <w:rFonts w:cs="Calibri"/>
                <w:sz w:val="24"/>
              </w:rPr>
            </w:pPr>
            <w:r w:rsidRPr="002F29D5">
              <w:rPr>
                <w:rFonts w:cs="Calibri"/>
                <w:sz w:val="24"/>
              </w:rPr>
              <w:t>Date</w:t>
            </w:r>
          </w:p>
        </w:tc>
        <w:tc>
          <w:tcPr>
            <w:tcW w:w="8975" w:type="dxa"/>
            <w:tcBorders>
              <w:top w:val="single" w:sz="6" w:space="0" w:color="70AD47"/>
              <w:left w:val="single" w:sz="6" w:space="0" w:color="70AD47"/>
              <w:bottom w:val="single" w:sz="6" w:space="0" w:color="70AD47"/>
              <w:right w:val="single" w:sz="6" w:space="0" w:color="70AD47"/>
            </w:tcBorders>
            <w:shd w:val="clear" w:color="auto" w:fill="C5E0B3"/>
            <w:hideMark/>
          </w:tcPr>
          <w:p w14:paraId="25E6F2E0" w14:textId="77777777" w:rsidR="00324639" w:rsidRPr="002F29D5" w:rsidRDefault="00324639" w:rsidP="00177FBA">
            <w:pPr>
              <w:spacing w:after="0" w:line="240" w:lineRule="auto"/>
              <w:rPr>
                <w:rFonts w:cs="Calibri"/>
              </w:rPr>
            </w:pPr>
            <w:r w:rsidRPr="002F29D5">
              <w:rPr>
                <w:rFonts w:eastAsia="Carlito Regular" w:cs="Calibri"/>
              </w:rPr>
              <w:t>Sunday</w:t>
            </w:r>
            <w:r>
              <w:rPr>
                <w:rFonts w:eastAsia="Carlito Regular" w:cs="Calibri"/>
              </w:rPr>
              <w:t xml:space="preserve"> 11</w:t>
            </w:r>
            <w:r w:rsidRPr="002F29D5">
              <w:rPr>
                <w:rFonts w:eastAsia="Carlito Regular" w:cs="Calibri"/>
              </w:rPr>
              <w:t xml:space="preserve"> July 2021</w:t>
            </w:r>
            <w:r w:rsidRPr="002F29D5">
              <w:rPr>
                <w:rFonts w:cs="Calibri"/>
              </w:rPr>
              <w:t xml:space="preserve">    Start time  2 .30pm</w:t>
            </w:r>
          </w:p>
        </w:tc>
      </w:tr>
      <w:tr w:rsidR="00324639" w:rsidRPr="002F29D5" w14:paraId="6213E4EF"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hideMark/>
          </w:tcPr>
          <w:p w14:paraId="2F30F7E5" w14:textId="77777777" w:rsidR="00324639" w:rsidRPr="002F29D5" w:rsidRDefault="00324639" w:rsidP="00177FBA">
            <w:pPr>
              <w:spacing w:after="0" w:line="240" w:lineRule="auto"/>
              <w:rPr>
                <w:rFonts w:cs="Calibri"/>
                <w:sz w:val="24"/>
              </w:rPr>
            </w:pPr>
            <w:r w:rsidRPr="002F29D5">
              <w:rPr>
                <w:rFonts w:cs="Calibri"/>
                <w:sz w:val="24"/>
              </w:rPr>
              <w:t>Location</w:t>
            </w:r>
          </w:p>
        </w:tc>
        <w:tc>
          <w:tcPr>
            <w:tcW w:w="8975" w:type="dxa"/>
            <w:tcBorders>
              <w:top w:val="single" w:sz="6" w:space="0" w:color="70AD47"/>
              <w:left w:val="single" w:sz="6" w:space="0" w:color="70AD47"/>
              <w:bottom w:val="single" w:sz="6" w:space="0" w:color="70AD47"/>
              <w:right w:val="single" w:sz="6" w:space="0" w:color="70AD47"/>
            </w:tcBorders>
            <w:hideMark/>
          </w:tcPr>
          <w:p w14:paraId="04A2E62F" w14:textId="77777777" w:rsidR="00324639" w:rsidRPr="002F29D5" w:rsidRDefault="00324639" w:rsidP="00177FBA">
            <w:pPr>
              <w:shd w:val="clear" w:color="auto" w:fill="FFFFFF"/>
              <w:spacing w:after="0" w:line="240" w:lineRule="auto"/>
              <w:rPr>
                <w:rFonts w:ascii="Verdana" w:eastAsia="Times New Roman" w:hAnsi="Verdana"/>
                <w:color w:val="000000"/>
                <w:sz w:val="20"/>
                <w:szCs w:val="20"/>
                <w:lang w:eastAsia="en-GB"/>
              </w:rPr>
            </w:pPr>
            <w:r w:rsidRPr="002F29D5">
              <w:rPr>
                <w:rFonts w:cs="Calibri"/>
              </w:rPr>
              <w:t>The Barn</w:t>
            </w:r>
            <w:r>
              <w:rPr>
                <w:rFonts w:cs="Calibri"/>
              </w:rPr>
              <w:t xml:space="preserve">, </w:t>
            </w:r>
            <w:proofErr w:type="spellStart"/>
            <w:r>
              <w:rPr>
                <w:rFonts w:cs="Calibri"/>
              </w:rPr>
              <w:t>Gwennap</w:t>
            </w:r>
            <w:proofErr w:type="spellEnd"/>
            <w:r>
              <w:rPr>
                <w:rFonts w:cs="Calibri"/>
              </w:rPr>
              <w:t xml:space="preserve"> Pit</w:t>
            </w:r>
          </w:p>
          <w:p w14:paraId="78655251" w14:textId="77777777" w:rsidR="00324639" w:rsidRPr="002F29D5" w:rsidRDefault="00324639" w:rsidP="00177FBA">
            <w:pPr>
              <w:shd w:val="clear" w:color="auto" w:fill="FFFFFF"/>
              <w:spacing w:after="0" w:line="240" w:lineRule="auto"/>
              <w:rPr>
                <w:rFonts w:ascii="Verdana" w:eastAsia="Times New Roman" w:hAnsi="Verdana"/>
                <w:color w:val="000000"/>
                <w:sz w:val="20"/>
                <w:szCs w:val="20"/>
                <w:lang w:eastAsia="en-GB"/>
              </w:rPr>
            </w:pPr>
          </w:p>
        </w:tc>
      </w:tr>
      <w:tr w:rsidR="00324639" w:rsidRPr="002F29D5" w14:paraId="299BBA1E"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30429A3D"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tcPr>
          <w:p w14:paraId="0623E1D7" w14:textId="77777777" w:rsidR="00324639" w:rsidRPr="002F29D5" w:rsidRDefault="00324639" w:rsidP="00177FBA">
            <w:pPr>
              <w:spacing w:after="0" w:line="240" w:lineRule="auto"/>
            </w:pPr>
            <w:r>
              <w:t>Welcome and apologies</w:t>
            </w:r>
          </w:p>
        </w:tc>
      </w:tr>
      <w:tr w:rsidR="00324639" w:rsidRPr="002F29D5" w14:paraId="347C3DF5"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563FCF8A"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6909B546" w14:textId="77777777" w:rsidR="00324639" w:rsidRPr="002F29D5" w:rsidRDefault="00324639" w:rsidP="00177FBA">
            <w:pPr>
              <w:spacing w:after="0" w:line="240" w:lineRule="auto"/>
            </w:pPr>
            <w:r w:rsidRPr="002F29D5">
              <w:t>Request AOB</w:t>
            </w:r>
          </w:p>
        </w:tc>
      </w:tr>
      <w:tr w:rsidR="00324639" w:rsidRPr="002F29D5" w14:paraId="076032F1"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D61BFB1"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4A039B0E" w14:textId="77777777" w:rsidR="00324639" w:rsidRPr="002F29D5" w:rsidRDefault="00324639" w:rsidP="00177FBA">
            <w:pPr>
              <w:spacing w:after="0" w:line="240" w:lineRule="auto"/>
            </w:pPr>
            <w:r w:rsidRPr="002F29D5">
              <w:t>Minutes of previous meeting</w:t>
            </w:r>
            <w:r w:rsidRPr="002F29D5">
              <w:br/>
              <w:t xml:space="preserve">a.  Approval </w:t>
            </w:r>
            <w:r w:rsidRPr="002F29D5">
              <w:br/>
              <w:t>b. Matters arising</w:t>
            </w:r>
          </w:p>
        </w:tc>
      </w:tr>
      <w:tr w:rsidR="00324639" w:rsidRPr="002F29D5" w14:paraId="0D4804AE"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08F0CA3"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5AE48ED2" w14:textId="77777777" w:rsidR="00324639" w:rsidRPr="002F29D5" w:rsidRDefault="00324639" w:rsidP="00177FBA">
            <w:pPr>
              <w:spacing w:after="0" w:line="240" w:lineRule="auto"/>
            </w:pPr>
            <w:r w:rsidRPr="002F29D5">
              <w:t xml:space="preserve">Chairperson’s Report </w:t>
            </w:r>
            <w:r>
              <w:t xml:space="preserve">2020 </w:t>
            </w:r>
            <w:r w:rsidRPr="002F29D5">
              <w:t xml:space="preserve">presented by David </w:t>
            </w:r>
            <w:proofErr w:type="spellStart"/>
            <w:r w:rsidRPr="002F29D5">
              <w:t>Ivall</w:t>
            </w:r>
            <w:proofErr w:type="spellEnd"/>
          </w:p>
        </w:tc>
      </w:tr>
      <w:tr w:rsidR="00324639" w:rsidRPr="002F29D5" w14:paraId="0DB4E981"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EE83A64"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4E14C420" w14:textId="77777777" w:rsidR="00324639" w:rsidRPr="002F29D5" w:rsidRDefault="00324639" w:rsidP="00177FBA">
            <w:pPr>
              <w:spacing w:after="0" w:line="240" w:lineRule="auto"/>
              <w:rPr>
                <w:rFonts w:cs="Calibri"/>
              </w:rPr>
            </w:pPr>
            <w:r w:rsidRPr="002F29D5">
              <w:t xml:space="preserve">Treasurer’s Report </w:t>
            </w:r>
            <w:r>
              <w:t>2020</w:t>
            </w:r>
            <w:r w:rsidRPr="002F29D5">
              <w:t xml:space="preserve"> presented by Mark Breach</w:t>
            </w:r>
          </w:p>
        </w:tc>
      </w:tr>
      <w:tr w:rsidR="00324639" w:rsidRPr="002F29D5" w14:paraId="777A7E63"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706EA039"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5F05AAE8" w14:textId="77777777" w:rsidR="00324639" w:rsidRPr="002F29D5" w:rsidRDefault="00324639" w:rsidP="00177FBA">
            <w:pPr>
              <w:spacing w:after="0" w:line="240" w:lineRule="auto"/>
            </w:pPr>
            <w:r w:rsidRPr="002F29D5">
              <w:t>Awards Report</w:t>
            </w:r>
          </w:p>
        </w:tc>
      </w:tr>
      <w:tr w:rsidR="00324639" w:rsidRPr="002F29D5" w14:paraId="28AAA5DE"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314FA2B0"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57210431" w14:textId="77777777" w:rsidR="00324639" w:rsidRPr="002F29D5" w:rsidRDefault="00324639" w:rsidP="00177FBA">
            <w:pPr>
              <w:spacing w:after="0" w:line="240" w:lineRule="auto"/>
            </w:pPr>
            <w:r w:rsidRPr="002F29D5">
              <w:t>Policies and procedures</w:t>
            </w:r>
          </w:p>
        </w:tc>
      </w:tr>
      <w:tr w:rsidR="00324639" w:rsidRPr="002F29D5" w14:paraId="40AF1120"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35A9F5DD"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tcPr>
          <w:p w14:paraId="5449EC4F" w14:textId="77777777" w:rsidR="00324639" w:rsidRPr="002F29D5" w:rsidRDefault="00324639" w:rsidP="00177FBA">
            <w:pPr>
              <w:spacing w:after="0" w:line="240" w:lineRule="auto"/>
            </w:pPr>
            <w:r w:rsidRPr="002F29D5">
              <w:t>Election of officers and committee members</w:t>
            </w:r>
          </w:p>
          <w:p w14:paraId="32FB886A" w14:textId="77777777" w:rsidR="00324639" w:rsidRPr="002F29D5" w:rsidRDefault="00324639" w:rsidP="00177FBA">
            <w:pPr>
              <w:spacing w:after="0" w:line="240" w:lineRule="auto"/>
            </w:pPr>
            <w:r w:rsidRPr="002F29D5">
              <w:t>Officers standing for re-election:</w:t>
            </w:r>
          </w:p>
          <w:p w14:paraId="76AD0BB1" w14:textId="77777777" w:rsidR="00324639" w:rsidRPr="002F29D5" w:rsidRDefault="00324639" w:rsidP="00177FBA">
            <w:pPr>
              <w:numPr>
                <w:ilvl w:val="0"/>
                <w:numId w:val="3"/>
              </w:numPr>
              <w:spacing w:after="0" w:line="240" w:lineRule="auto"/>
              <w:contextualSpacing/>
            </w:pPr>
            <w:r w:rsidRPr="002F29D5">
              <w:t xml:space="preserve">Chair – David </w:t>
            </w:r>
            <w:proofErr w:type="spellStart"/>
            <w:r w:rsidRPr="002F29D5">
              <w:t>Ivall</w:t>
            </w:r>
            <w:proofErr w:type="spellEnd"/>
          </w:p>
          <w:p w14:paraId="67A6868D" w14:textId="77777777" w:rsidR="00324639" w:rsidRPr="002F29D5" w:rsidRDefault="00324639" w:rsidP="00177FBA">
            <w:pPr>
              <w:numPr>
                <w:ilvl w:val="0"/>
                <w:numId w:val="3"/>
              </w:numPr>
              <w:spacing w:after="0" w:line="240" w:lineRule="auto"/>
              <w:contextualSpacing/>
            </w:pPr>
            <w:r w:rsidRPr="002F29D5">
              <w:t>Treasurer – Mark Breach</w:t>
            </w:r>
          </w:p>
          <w:p w14:paraId="7A84B5CC" w14:textId="77777777" w:rsidR="00324639" w:rsidRPr="002F29D5" w:rsidRDefault="00324639" w:rsidP="00177FBA">
            <w:pPr>
              <w:numPr>
                <w:ilvl w:val="0"/>
                <w:numId w:val="3"/>
              </w:numPr>
              <w:spacing w:after="0" w:line="240" w:lineRule="auto"/>
              <w:contextualSpacing/>
            </w:pPr>
            <w:r w:rsidRPr="002F29D5">
              <w:t>Secretary – Chris Breach</w:t>
            </w:r>
          </w:p>
          <w:p w14:paraId="503F4680" w14:textId="77777777" w:rsidR="00324639" w:rsidRPr="002F29D5" w:rsidRDefault="00324639" w:rsidP="00177FBA">
            <w:pPr>
              <w:numPr>
                <w:ilvl w:val="0"/>
                <w:numId w:val="3"/>
              </w:numPr>
              <w:spacing w:after="0" w:line="240" w:lineRule="auto"/>
              <w:contextualSpacing/>
            </w:pPr>
            <w:r w:rsidRPr="002F29D5">
              <w:t>Vice-chair – John Frankland</w:t>
            </w:r>
          </w:p>
          <w:p w14:paraId="26806BDA" w14:textId="77777777" w:rsidR="00324639" w:rsidRPr="002F29D5" w:rsidRDefault="00324639" w:rsidP="00177FBA">
            <w:pPr>
              <w:spacing w:after="0" w:line="240" w:lineRule="auto"/>
            </w:pPr>
          </w:p>
          <w:p w14:paraId="27B64B62" w14:textId="77777777" w:rsidR="00324639" w:rsidRPr="002F29D5" w:rsidRDefault="00324639" w:rsidP="00177FBA">
            <w:pPr>
              <w:spacing w:after="0" w:line="240" w:lineRule="auto"/>
            </w:pPr>
            <w:r w:rsidRPr="002F29D5">
              <w:t>Members standing for re-election:</w:t>
            </w:r>
          </w:p>
          <w:p w14:paraId="1776C97E" w14:textId="77777777" w:rsidR="00324639" w:rsidRPr="002F29D5" w:rsidRDefault="00324639" w:rsidP="00177FBA">
            <w:pPr>
              <w:numPr>
                <w:ilvl w:val="0"/>
                <w:numId w:val="3"/>
              </w:numPr>
              <w:spacing w:after="0" w:line="240" w:lineRule="auto"/>
              <w:contextualSpacing/>
            </w:pPr>
            <w:r w:rsidRPr="002F29D5">
              <w:t xml:space="preserve">Ann </w:t>
            </w:r>
            <w:proofErr w:type="spellStart"/>
            <w:r w:rsidRPr="002F29D5">
              <w:t>Lejeune</w:t>
            </w:r>
            <w:proofErr w:type="spellEnd"/>
          </w:p>
          <w:p w14:paraId="431CA6EA" w14:textId="77777777" w:rsidR="00324639" w:rsidRPr="002F29D5" w:rsidRDefault="00324639" w:rsidP="00177FBA">
            <w:pPr>
              <w:numPr>
                <w:ilvl w:val="0"/>
                <w:numId w:val="3"/>
              </w:numPr>
              <w:spacing w:after="0" w:line="240" w:lineRule="auto"/>
              <w:contextualSpacing/>
            </w:pPr>
            <w:r w:rsidRPr="002F29D5">
              <w:t>Tracey Holmes</w:t>
            </w:r>
          </w:p>
          <w:p w14:paraId="3D3C2511" w14:textId="77777777" w:rsidR="00324639" w:rsidRPr="002F29D5" w:rsidRDefault="00324639" w:rsidP="00177FBA">
            <w:pPr>
              <w:numPr>
                <w:ilvl w:val="0"/>
                <w:numId w:val="3"/>
              </w:numPr>
              <w:spacing w:after="0" w:line="240" w:lineRule="auto"/>
              <w:contextualSpacing/>
            </w:pPr>
            <w:r w:rsidRPr="002F29D5">
              <w:t>Moo Burnett</w:t>
            </w:r>
          </w:p>
          <w:p w14:paraId="4766D0A5" w14:textId="77777777" w:rsidR="00324639" w:rsidRPr="002F29D5" w:rsidRDefault="00324639" w:rsidP="00177FBA">
            <w:pPr>
              <w:numPr>
                <w:ilvl w:val="0"/>
                <w:numId w:val="3"/>
              </w:numPr>
              <w:spacing w:after="0" w:line="240" w:lineRule="auto"/>
              <w:contextualSpacing/>
            </w:pPr>
            <w:r w:rsidRPr="002F29D5">
              <w:t xml:space="preserve">Elaine </w:t>
            </w:r>
            <w:proofErr w:type="spellStart"/>
            <w:r w:rsidRPr="002F29D5">
              <w:t>Gummow</w:t>
            </w:r>
            <w:proofErr w:type="spellEnd"/>
          </w:p>
          <w:p w14:paraId="4E5F311E" w14:textId="77777777" w:rsidR="00324639" w:rsidRPr="002F29D5" w:rsidRDefault="00324639" w:rsidP="00177FBA">
            <w:pPr>
              <w:numPr>
                <w:ilvl w:val="0"/>
                <w:numId w:val="3"/>
              </w:numPr>
              <w:spacing w:after="0" w:line="240" w:lineRule="auto"/>
              <w:contextualSpacing/>
            </w:pPr>
            <w:r w:rsidRPr="002F29D5">
              <w:t>Pam Furnish</w:t>
            </w:r>
          </w:p>
          <w:p w14:paraId="34EC2A4F" w14:textId="77777777" w:rsidR="00324639" w:rsidRPr="002F29D5" w:rsidRDefault="00324639" w:rsidP="00177FBA">
            <w:pPr>
              <w:numPr>
                <w:ilvl w:val="0"/>
                <w:numId w:val="3"/>
              </w:numPr>
              <w:spacing w:after="0" w:line="240" w:lineRule="auto"/>
              <w:contextualSpacing/>
            </w:pPr>
            <w:r w:rsidRPr="002F29D5">
              <w:t>Paul Barker</w:t>
            </w:r>
          </w:p>
          <w:p w14:paraId="631FED71" w14:textId="77777777" w:rsidR="00324639" w:rsidRPr="002F29D5" w:rsidRDefault="00324639" w:rsidP="00177FBA">
            <w:pPr>
              <w:numPr>
                <w:ilvl w:val="0"/>
                <w:numId w:val="3"/>
              </w:numPr>
              <w:spacing w:after="0" w:line="240" w:lineRule="auto"/>
              <w:contextualSpacing/>
            </w:pPr>
            <w:r w:rsidRPr="002F29D5">
              <w:t>Nicholas Vale</w:t>
            </w:r>
          </w:p>
          <w:p w14:paraId="5AE4F299" w14:textId="77777777" w:rsidR="00324639" w:rsidRPr="002F29D5" w:rsidRDefault="00324639" w:rsidP="00177FBA">
            <w:pPr>
              <w:numPr>
                <w:ilvl w:val="0"/>
                <w:numId w:val="3"/>
              </w:numPr>
              <w:spacing w:after="0" w:line="240" w:lineRule="auto"/>
              <w:contextualSpacing/>
            </w:pPr>
            <w:r w:rsidRPr="002F29D5">
              <w:t>Colin Groom</w:t>
            </w:r>
          </w:p>
          <w:p w14:paraId="1C3BBCAA" w14:textId="77777777" w:rsidR="00324639" w:rsidRPr="002F29D5" w:rsidRDefault="00324639" w:rsidP="00177FBA">
            <w:pPr>
              <w:spacing w:after="0" w:line="240" w:lineRule="auto"/>
            </w:pPr>
          </w:p>
          <w:p w14:paraId="3AC17A82" w14:textId="77777777" w:rsidR="00324639" w:rsidRPr="002F29D5" w:rsidRDefault="00324639" w:rsidP="00177FBA">
            <w:pPr>
              <w:spacing w:after="0" w:line="240" w:lineRule="auto"/>
            </w:pPr>
            <w:r w:rsidRPr="002F29D5">
              <w:t>Youth members (non-voting) – Abi Holmes</w:t>
            </w:r>
          </w:p>
          <w:p w14:paraId="2B85A246" w14:textId="77777777" w:rsidR="00324639" w:rsidRPr="002F29D5" w:rsidRDefault="00324639" w:rsidP="00177FBA">
            <w:pPr>
              <w:spacing w:after="0" w:line="240" w:lineRule="auto"/>
            </w:pPr>
          </w:p>
        </w:tc>
      </w:tr>
      <w:tr w:rsidR="00324639" w:rsidRPr="002F29D5" w14:paraId="4913B2F6"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730CD39"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463DB9F4" w14:textId="77777777" w:rsidR="00324639" w:rsidRPr="002F29D5" w:rsidRDefault="00324639" w:rsidP="00177FBA">
            <w:pPr>
              <w:spacing w:after="0" w:line="240" w:lineRule="auto"/>
            </w:pPr>
            <w:r w:rsidRPr="002F29D5">
              <w:t>Fiftieth Anniversary</w:t>
            </w:r>
          </w:p>
        </w:tc>
      </w:tr>
      <w:tr w:rsidR="00324639" w:rsidRPr="002F29D5" w14:paraId="2809E5B9"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3C561BC"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tcPr>
          <w:p w14:paraId="16431F06" w14:textId="77777777" w:rsidR="00324639" w:rsidRPr="002F29D5" w:rsidRDefault="00324639" w:rsidP="00177FBA">
            <w:pPr>
              <w:spacing w:after="0" w:line="240" w:lineRule="auto"/>
            </w:pPr>
            <w:r>
              <w:t>Life Membership</w:t>
            </w:r>
          </w:p>
        </w:tc>
      </w:tr>
      <w:tr w:rsidR="00324639" w:rsidRPr="002F29D5" w14:paraId="204BB36B"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EBEBB0F"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161AE18E" w14:textId="77777777" w:rsidR="00324639" w:rsidRPr="002F29D5" w:rsidRDefault="00324639" w:rsidP="00177FBA">
            <w:pPr>
              <w:spacing w:after="0" w:line="240" w:lineRule="auto"/>
            </w:pPr>
            <w:r w:rsidRPr="002F29D5">
              <w:t>AOB</w:t>
            </w:r>
            <w:r>
              <w:t xml:space="preserve"> (to be notified under item 2 above)</w:t>
            </w:r>
          </w:p>
        </w:tc>
      </w:tr>
      <w:tr w:rsidR="00324639" w:rsidRPr="002F29D5" w14:paraId="4828E757"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132ED781"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070E3C38" w14:textId="77777777" w:rsidR="00324639" w:rsidRPr="002F29D5" w:rsidRDefault="00324639" w:rsidP="00177FBA">
            <w:pPr>
              <w:spacing w:after="0" w:line="240" w:lineRule="auto"/>
            </w:pPr>
            <w:r w:rsidRPr="002F29D5">
              <w:t>Meeting ends</w:t>
            </w:r>
          </w:p>
        </w:tc>
      </w:tr>
      <w:tr w:rsidR="00324639" w:rsidRPr="002F29D5" w14:paraId="6A0E783B" w14:textId="77777777" w:rsidTr="00177FBA">
        <w:trPr>
          <w:trHeight w:val="279"/>
        </w:trPr>
        <w:tc>
          <w:tcPr>
            <w:tcW w:w="1555" w:type="dxa"/>
            <w:tcBorders>
              <w:top w:val="single" w:sz="6" w:space="0" w:color="70AD47"/>
              <w:left w:val="single" w:sz="6" w:space="0" w:color="70AD47"/>
              <w:bottom w:val="single" w:sz="6" w:space="0" w:color="70AD47"/>
              <w:right w:val="single" w:sz="6" w:space="0" w:color="70AD47"/>
            </w:tcBorders>
          </w:tcPr>
          <w:p w14:paraId="643FDAE1" w14:textId="77777777" w:rsidR="00324639" w:rsidRPr="002F29D5" w:rsidRDefault="00324639" w:rsidP="00177FBA">
            <w:pPr>
              <w:numPr>
                <w:ilvl w:val="0"/>
                <w:numId w:val="1"/>
              </w:numPr>
              <w:spacing w:after="0" w:line="240" w:lineRule="auto"/>
              <w:contextualSpacing/>
              <w:rPr>
                <w:rFonts w:cs="Calibri"/>
                <w:sz w:val="24"/>
              </w:rPr>
            </w:pPr>
          </w:p>
        </w:tc>
        <w:tc>
          <w:tcPr>
            <w:tcW w:w="8975" w:type="dxa"/>
            <w:tcBorders>
              <w:top w:val="single" w:sz="6" w:space="0" w:color="70AD47"/>
              <w:left w:val="single" w:sz="6" w:space="0" w:color="70AD47"/>
              <w:bottom w:val="single" w:sz="6" w:space="0" w:color="70AD47"/>
              <w:right w:val="single" w:sz="6" w:space="0" w:color="70AD47"/>
            </w:tcBorders>
            <w:hideMark/>
          </w:tcPr>
          <w:p w14:paraId="00BCE79F" w14:textId="77777777" w:rsidR="00324639" w:rsidRPr="002F29D5" w:rsidRDefault="00324639" w:rsidP="00177FBA">
            <w:pPr>
              <w:spacing w:after="0" w:line="240" w:lineRule="auto"/>
            </w:pPr>
            <w:r w:rsidRPr="002F29D5">
              <w:t xml:space="preserve">New committee set date of first committee meeting </w:t>
            </w:r>
          </w:p>
        </w:tc>
      </w:tr>
    </w:tbl>
    <w:p w14:paraId="4827557D" w14:textId="77777777" w:rsidR="00324639" w:rsidRDefault="00324639" w:rsidP="00324639"/>
    <w:p w14:paraId="742CFFA9" w14:textId="77777777" w:rsidR="002F29D5" w:rsidRDefault="002F29D5" w:rsidP="00324639"/>
    <w:sectPr w:rsidR="002F2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Regular">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527"/>
    <w:multiLevelType w:val="hybridMultilevel"/>
    <w:tmpl w:val="A936F8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9958AF"/>
    <w:multiLevelType w:val="hybridMultilevel"/>
    <w:tmpl w:val="8878D8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E16977"/>
    <w:multiLevelType w:val="hybridMultilevel"/>
    <w:tmpl w:val="A4480948"/>
    <w:lvl w:ilvl="0" w:tplc="59B287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D5"/>
    <w:rsid w:val="0018203D"/>
    <w:rsid w:val="002F29D5"/>
    <w:rsid w:val="00324639"/>
    <w:rsid w:val="00662088"/>
    <w:rsid w:val="00816945"/>
    <w:rsid w:val="00D056D0"/>
    <w:rsid w:val="00F8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A77"/>
  <w15:chartTrackingRefBased/>
  <w15:docId w15:val="{48E0F1B8-8BA6-4828-BB24-7C62D2F0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Breach</dc:creator>
  <cp:keywords/>
  <dc:description/>
  <cp:lastModifiedBy>Chris Breach</cp:lastModifiedBy>
  <cp:revision>7</cp:revision>
  <dcterms:created xsi:type="dcterms:W3CDTF">2021-06-11T12:10:00Z</dcterms:created>
  <dcterms:modified xsi:type="dcterms:W3CDTF">2021-06-15T16:07:00Z</dcterms:modified>
</cp:coreProperties>
</file>